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10211" w:rsidRDefault="00A10211" w:rsidP="00A10211">
      <w:pPr>
        <w:pStyle w:val="normal0"/>
        <w:rPr>
          <w:rFonts w:ascii="Arial" w:eastAsia="Arial" w:hAnsi="Arial" w:cs="Arial"/>
          <w:sz w:val="22"/>
        </w:rPr>
      </w:pPr>
      <w:r>
        <w:rPr>
          <w:rFonts w:ascii="Arial" w:eastAsia="Arial" w:hAnsi="Arial" w:cs="Arial"/>
          <w:sz w:val="22"/>
        </w:rPr>
        <w:t>Solar System – 3</w:t>
      </w:r>
      <w:r w:rsidRPr="00A10211">
        <w:rPr>
          <w:rFonts w:ascii="Arial" w:eastAsia="Arial" w:hAnsi="Arial" w:cs="Arial"/>
          <w:sz w:val="22"/>
          <w:vertAlign w:val="superscript"/>
        </w:rPr>
        <w:t>rd</w:t>
      </w:r>
      <w:r>
        <w:rPr>
          <w:rFonts w:ascii="Arial" w:eastAsia="Arial" w:hAnsi="Arial" w:cs="Arial"/>
          <w:sz w:val="22"/>
        </w:rPr>
        <w:t xml:space="preserve"> Grade</w:t>
      </w:r>
    </w:p>
    <w:p w:rsidR="00A10211" w:rsidRDefault="00A10211" w:rsidP="00A10211">
      <w:pPr>
        <w:pStyle w:val="normal0"/>
      </w:pPr>
      <w:r>
        <w:rPr>
          <w:rFonts w:ascii="Arial" w:eastAsia="Arial" w:hAnsi="Arial" w:cs="Arial"/>
          <w:sz w:val="22"/>
        </w:rPr>
        <w:t>Rationale/Theoretical Reasoning:</w:t>
      </w:r>
    </w:p>
    <w:p w:rsidR="00A10211" w:rsidRDefault="00A10211" w:rsidP="00A10211">
      <w:pPr>
        <w:pStyle w:val="normal0"/>
      </w:pP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Arial" w:eastAsia="Times New Roman" w:hAnsi="Arial" w:cs="Arial"/>
          <w:b/>
          <w:bCs/>
          <w:color w:val="000000"/>
        </w:rPr>
        <w:t>Common Misconceptions:</w:t>
      </w: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Arial" w:eastAsia="Times New Roman" w:hAnsi="Arial" w:cs="Arial"/>
          <w:color w:val="000000"/>
        </w:rPr>
        <w:t xml:space="preserve">    Students, especially young students, have several misconceptions about the solar system. Students have a difficult time connecting the Earth and the things on it to being a part of the solar system. This lesson should be presented only after students are familiar with and understand the Earth-Sun-Moon system.  One strategy for helping students overcome this common misconception is to place importance on the easily visible planets in the sky (e.g., Jupiter, Mars, Saturn, Venus) and how to distinguish them from stars. </w:t>
      </w: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Arial" w:eastAsia="Times New Roman" w:hAnsi="Arial" w:cs="Arial"/>
          <w:color w:val="000000"/>
        </w:rPr>
        <w:t xml:space="preserve">    Another common misconception for students is that they have a difficult time understanding how the items in the solar system move in relation to each other.  The </w:t>
      </w:r>
      <w:proofErr w:type="spellStart"/>
      <w:r w:rsidRPr="00FD7031">
        <w:rPr>
          <w:rFonts w:ascii="Arial" w:eastAsia="Times New Roman" w:hAnsi="Arial" w:cs="Arial"/>
          <w:color w:val="000000"/>
        </w:rPr>
        <w:t>iPad</w:t>
      </w:r>
      <w:proofErr w:type="spellEnd"/>
      <w:r w:rsidRPr="00FD7031">
        <w:rPr>
          <w:rFonts w:ascii="Arial" w:eastAsia="Times New Roman" w:hAnsi="Arial" w:cs="Arial"/>
          <w:color w:val="000000"/>
        </w:rPr>
        <w:t xml:space="preserve"> app incorporated in this lesson allows students to see the planets in motion and how they relate to each other. </w:t>
      </w:r>
    </w:p>
    <w:p w:rsidR="00A10211" w:rsidRDefault="00A10211" w:rsidP="00A10211">
      <w:pPr>
        <w:spacing w:after="0" w:line="240" w:lineRule="auto"/>
        <w:rPr>
          <w:rFonts w:ascii="Arial" w:eastAsia="Times New Roman" w:hAnsi="Arial" w:cs="Arial"/>
          <w:color w:val="000000"/>
          <w:shd w:val="clear" w:color="auto" w:fill="FFFFFF"/>
        </w:rPr>
      </w:pPr>
    </w:p>
    <w:p w:rsidR="00A10211" w:rsidRPr="00FD7031" w:rsidRDefault="00A10211" w:rsidP="00A10211">
      <w:pPr>
        <w:spacing w:after="0" w:line="240" w:lineRule="auto"/>
        <w:rPr>
          <w:rFonts w:ascii="Times New Roman" w:eastAsia="Times New Roman" w:hAnsi="Times New Roman" w:cs="Times New Roman"/>
          <w:color w:val="000000"/>
        </w:rPr>
      </w:pPr>
      <w:proofErr w:type="spellStart"/>
      <w:r w:rsidRPr="00FD7031">
        <w:rPr>
          <w:rFonts w:ascii="Arial" w:eastAsia="Times New Roman" w:hAnsi="Arial" w:cs="Arial"/>
          <w:color w:val="000000"/>
          <w:shd w:val="clear" w:color="auto" w:fill="FFFFFF"/>
        </w:rPr>
        <w:t>Keeley</w:t>
      </w:r>
      <w:proofErr w:type="spellEnd"/>
      <w:r w:rsidRPr="00FD7031">
        <w:rPr>
          <w:rFonts w:ascii="Arial" w:eastAsia="Times New Roman" w:hAnsi="Arial" w:cs="Arial"/>
          <w:color w:val="000000"/>
          <w:shd w:val="clear" w:color="auto" w:fill="FFFFFF"/>
        </w:rPr>
        <w:t xml:space="preserve">, P. and </w:t>
      </w:r>
      <w:proofErr w:type="spellStart"/>
      <w:r w:rsidRPr="00FD7031">
        <w:rPr>
          <w:rFonts w:ascii="Arial" w:eastAsia="Times New Roman" w:hAnsi="Arial" w:cs="Arial"/>
          <w:color w:val="000000"/>
          <w:shd w:val="clear" w:color="auto" w:fill="FFFFFF"/>
        </w:rPr>
        <w:t>Sneider</w:t>
      </w:r>
      <w:proofErr w:type="spellEnd"/>
      <w:r w:rsidRPr="00FD7031">
        <w:rPr>
          <w:rFonts w:ascii="Arial" w:eastAsia="Times New Roman" w:hAnsi="Arial" w:cs="Arial"/>
          <w:color w:val="000000"/>
          <w:shd w:val="clear" w:color="auto" w:fill="FFFFFF"/>
        </w:rPr>
        <w:t xml:space="preserve">, C. (2012), </w:t>
      </w:r>
      <w:r w:rsidRPr="00FD7031">
        <w:rPr>
          <w:rFonts w:ascii="Arial" w:eastAsia="Times New Roman" w:hAnsi="Arial" w:cs="Arial"/>
          <w:i/>
          <w:iCs/>
          <w:color w:val="000000"/>
          <w:shd w:val="clear" w:color="auto" w:fill="FFFFFF"/>
        </w:rPr>
        <w:t>Uncovering student ideas in astronomy: 45 new formative assessment probes</w:t>
      </w:r>
      <w:r w:rsidRPr="00FD7031">
        <w:rPr>
          <w:rFonts w:ascii="Arial" w:eastAsia="Times New Roman" w:hAnsi="Arial" w:cs="Arial"/>
          <w:color w:val="000000"/>
          <w:shd w:val="clear" w:color="auto" w:fill="FFFFFF"/>
        </w:rPr>
        <w:t>. Arlington, VA: NSTA Press.</w:t>
      </w:r>
    </w:p>
    <w:p w:rsidR="00A10211" w:rsidRPr="00FD7031" w:rsidRDefault="00A10211" w:rsidP="00A10211">
      <w:pPr>
        <w:spacing w:after="0" w:line="240" w:lineRule="auto"/>
        <w:rPr>
          <w:rFonts w:ascii="Times New Roman" w:eastAsia="Times New Roman" w:hAnsi="Times New Roman" w:cs="Times New Roman"/>
          <w:color w:val="000000"/>
        </w:rPr>
      </w:pP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Arial" w:eastAsia="Times New Roman" w:hAnsi="Arial" w:cs="Arial"/>
          <w:b/>
          <w:bCs/>
          <w:color w:val="000000"/>
        </w:rPr>
        <w:t>Gardner’s Theory of Multiple Intelligences:</w:t>
      </w: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Arial" w:eastAsia="Times New Roman" w:hAnsi="Arial" w:cs="Arial"/>
          <w:color w:val="000000"/>
        </w:rPr>
        <w:t>The entire lesson focuses on different aspects of Gardner’s Theory of Multiple Intelligences as specified above</w:t>
      </w:r>
      <w:r>
        <w:rPr>
          <w:rFonts w:ascii="Arial" w:eastAsia="Times New Roman" w:hAnsi="Arial" w:cs="Arial"/>
          <w:color w:val="000000"/>
        </w:rPr>
        <w:t xml:space="preserve"> in the “Adaptations to Meet Individual Needs” section</w:t>
      </w:r>
      <w:r w:rsidRPr="00FD7031">
        <w:rPr>
          <w:rFonts w:ascii="Arial" w:eastAsia="Times New Roman" w:hAnsi="Arial" w:cs="Arial"/>
          <w:color w:val="000000"/>
        </w:rPr>
        <w:t>.</w:t>
      </w:r>
    </w:p>
    <w:p w:rsidR="00A10211" w:rsidRDefault="00A10211" w:rsidP="00A10211">
      <w:pPr>
        <w:spacing w:after="0" w:line="240" w:lineRule="auto"/>
        <w:rPr>
          <w:rFonts w:ascii="Arial" w:eastAsia="Times New Roman" w:hAnsi="Arial" w:cs="Arial"/>
          <w:color w:val="000000"/>
        </w:rPr>
      </w:pP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Arial" w:eastAsia="Times New Roman" w:hAnsi="Arial" w:cs="Arial"/>
          <w:color w:val="000000"/>
        </w:rPr>
        <w:t xml:space="preserve">Gardner, H. (2000), </w:t>
      </w:r>
      <w:r w:rsidRPr="00FD7031">
        <w:rPr>
          <w:rFonts w:ascii="Arial" w:eastAsia="Times New Roman" w:hAnsi="Arial" w:cs="Arial"/>
          <w:i/>
          <w:iCs/>
          <w:color w:val="000000"/>
        </w:rPr>
        <w:t>Intelligence reframed: Multiple intelligences for the 21st century</w:t>
      </w:r>
      <w:r w:rsidRPr="00FD7031">
        <w:rPr>
          <w:rFonts w:ascii="Arial" w:eastAsia="Times New Roman" w:hAnsi="Arial" w:cs="Arial"/>
          <w:color w:val="000000"/>
        </w:rPr>
        <w:t>. New York:  Basic Books</w:t>
      </w: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Times New Roman" w:eastAsia="Times New Roman" w:hAnsi="Times New Roman" w:cs="Times New Roman"/>
          <w:color w:val="000000"/>
        </w:rPr>
        <w:br/>
      </w:r>
    </w:p>
    <w:p w:rsidR="00A10211" w:rsidRDefault="00A10211" w:rsidP="00A10211">
      <w:pPr>
        <w:spacing w:after="0" w:line="240" w:lineRule="auto"/>
        <w:rPr>
          <w:rFonts w:ascii="Arial" w:eastAsia="Times New Roman" w:hAnsi="Arial" w:cs="Arial"/>
          <w:b/>
          <w:bCs/>
          <w:color w:val="000000"/>
        </w:rPr>
      </w:pPr>
      <w:proofErr w:type="spellStart"/>
      <w:r w:rsidRPr="00FD7031">
        <w:rPr>
          <w:rFonts w:ascii="Arial" w:eastAsia="Times New Roman" w:hAnsi="Arial" w:cs="Arial"/>
          <w:b/>
          <w:bCs/>
          <w:color w:val="000000"/>
        </w:rPr>
        <w:t>Marzano’s</w:t>
      </w:r>
      <w:proofErr w:type="spellEnd"/>
      <w:r w:rsidRPr="00FD7031">
        <w:rPr>
          <w:rFonts w:ascii="Arial" w:eastAsia="Times New Roman" w:hAnsi="Arial" w:cs="Arial"/>
          <w:b/>
          <w:bCs/>
          <w:color w:val="000000"/>
        </w:rPr>
        <w:t xml:space="preserve"> Essential 9 Strategies that have been shown to improve student achievement:</w:t>
      </w:r>
    </w:p>
    <w:p w:rsidR="00A10211" w:rsidRPr="00FD7031" w:rsidRDefault="00A10211" w:rsidP="00A10211">
      <w:pPr>
        <w:spacing w:after="0" w:line="240" w:lineRule="auto"/>
        <w:rPr>
          <w:rFonts w:ascii="Times New Roman" w:eastAsia="Times New Roman" w:hAnsi="Times New Roman" w:cs="Times New Roman"/>
          <w:color w:val="000000"/>
        </w:rPr>
      </w:pPr>
    </w:p>
    <w:p w:rsidR="00A10211" w:rsidRDefault="00A10211" w:rsidP="00A10211">
      <w:pPr>
        <w:spacing w:after="0" w:line="240" w:lineRule="auto"/>
        <w:rPr>
          <w:rFonts w:ascii="Arial" w:eastAsia="Times New Roman" w:hAnsi="Arial" w:cs="Arial"/>
          <w:color w:val="000000"/>
        </w:rPr>
      </w:pPr>
      <w:r>
        <w:rPr>
          <w:rFonts w:ascii="Arial" w:eastAsia="Times New Roman" w:hAnsi="Arial" w:cs="Arial"/>
          <w:i/>
          <w:color w:val="000000"/>
        </w:rPr>
        <w:t xml:space="preserve">Identifying Similarities and </w:t>
      </w:r>
      <w:r w:rsidRPr="00421E1B">
        <w:rPr>
          <w:rFonts w:ascii="Arial" w:eastAsia="Times New Roman" w:hAnsi="Arial" w:cs="Arial"/>
          <w:color w:val="000000"/>
        </w:rPr>
        <w:t>Differences</w:t>
      </w:r>
      <w:r>
        <w:rPr>
          <w:rFonts w:ascii="Arial" w:eastAsia="Times New Roman" w:hAnsi="Arial" w:cs="Arial"/>
          <w:color w:val="000000"/>
        </w:rPr>
        <w:t xml:space="preserve"> - </w:t>
      </w:r>
      <w:r w:rsidRPr="00FD7031">
        <w:rPr>
          <w:rFonts w:ascii="Arial" w:eastAsia="Times New Roman" w:hAnsi="Arial" w:cs="Arial"/>
          <w:color w:val="000000"/>
        </w:rPr>
        <w:t xml:space="preserve">The chart included on the worksheet also gives students the opportunity to compare and classify items as described in </w:t>
      </w:r>
      <w:proofErr w:type="spellStart"/>
      <w:r w:rsidRPr="00FD7031">
        <w:rPr>
          <w:rFonts w:ascii="Arial" w:eastAsia="Times New Roman" w:hAnsi="Arial" w:cs="Arial"/>
          <w:color w:val="000000"/>
        </w:rPr>
        <w:t>Marzano’s</w:t>
      </w:r>
      <w:proofErr w:type="spellEnd"/>
      <w:r w:rsidRPr="00FD7031">
        <w:rPr>
          <w:rFonts w:ascii="Arial" w:eastAsia="Times New Roman" w:hAnsi="Arial" w:cs="Arial"/>
          <w:color w:val="000000"/>
        </w:rPr>
        <w:t xml:space="preserve"> essential instructional strategy of identifying similarities and differences. </w:t>
      </w:r>
      <w:r>
        <w:rPr>
          <w:rFonts w:ascii="Arial" w:eastAsia="Times New Roman" w:hAnsi="Arial" w:cs="Arial"/>
          <w:color w:val="000000"/>
        </w:rPr>
        <w:t xml:space="preserve">Identifying similarities and differences has been proven to help students understand more complex problems and topics by analyzing them in a simpler way. </w:t>
      </w:r>
    </w:p>
    <w:p w:rsidR="00A10211" w:rsidRDefault="00A10211" w:rsidP="00A10211">
      <w:pPr>
        <w:spacing w:after="0" w:line="240" w:lineRule="auto"/>
        <w:rPr>
          <w:rFonts w:ascii="Arial" w:eastAsia="Times New Roman" w:hAnsi="Arial" w:cs="Arial"/>
          <w:color w:val="000000"/>
        </w:rPr>
      </w:pPr>
    </w:p>
    <w:p w:rsidR="00A10211" w:rsidRPr="00FD7031" w:rsidRDefault="00A10211" w:rsidP="00A10211">
      <w:pPr>
        <w:spacing w:after="0" w:line="240" w:lineRule="auto"/>
        <w:rPr>
          <w:rFonts w:ascii="Arial" w:eastAsia="Times New Roman" w:hAnsi="Arial" w:cs="Arial"/>
          <w:color w:val="000000"/>
        </w:rPr>
      </w:pPr>
      <w:r>
        <w:rPr>
          <w:rFonts w:ascii="Arial" w:eastAsia="Times New Roman" w:hAnsi="Arial" w:cs="Arial"/>
          <w:i/>
          <w:color w:val="000000"/>
        </w:rPr>
        <w:t xml:space="preserve">Nonlinguistic </w:t>
      </w:r>
      <w:r w:rsidRPr="00FD7031">
        <w:rPr>
          <w:rFonts w:ascii="Arial" w:eastAsia="Times New Roman" w:hAnsi="Arial" w:cs="Arial"/>
          <w:color w:val="000000"/>
        </w:rPr>
        <w:t>Representations</w:t>
      </w:r>
      <w:r>
        <w:rPr>
          <w:rFonts w:ascii="Arial" w:eastAsia="Times New Roman" w:hAnsi="Arial" w:cs="Arial"/>
          <w:color w:val="000000"/>
        </w:rPr>
        <w:t xml:space="preserve"> – </w:t>
      </w:r>
      <w:r w:rsidRPr="00FD7031">
        <w:rPr>
          <w:rFonts w:ascii="Arial" w:eastAsia="Times New Roman" w:hAnsi="Arial" w:cs="Arial"/>
          <w:color w:val="000000"/>
        </w:rPr>
        <w:t xml:space="preserve">The physical model used in class and the diagram that students create are both representative of </w:t>
      </w:r>
      <w:proofErr w:type="spellStart"/>
      <w:r w:rsidRPr="00FD7031">
        <w:rPr>
          <w:rFonts w:ascii="Arial" w:eastAsia="Times New Roman" w:hAnsi="Arial" w:cs="Arial"/>
          <w:color w:val="000000"/>
        </w:rPr>
        <w:t>Marzano’s</w:t>
      </w:r>
      <w:proofErr w:type="spellEnd"/>
      <w:r w:rsidRPr="00FD7031">
        <w:rPr>
          <w:rFonts w:ascii="Arial" w:eastAsia="Times New Roman" w:hAnsi="Arial" w:cs="Arial"/>
          <w:color w:val="000000"/>
        </w:rPr>
        <w:t xml:space="preserve"> fifth essential instructional strategy of</w:t>
      </w:r>
      <w:r>
        <w:rPr>
          <w:rFonts w:ascii="Arial" w:eastAsia="Times New Roman" w:hAnsi="Arial" w:cs="Arial"/>
          <w:color w:val="000000"/>
        </w:rPr>
        <w:t xml:space="preserve"> nonlinguistic representations. According to research, nonlinguistic representations have been shown to increase and stimulate brain activity.  </w:t>
      </w:r>
      <w:r w:rsidRPr="00FD7031">
        <w:rPr>
          <w:rFonts w:ascii="Times New Roman" w:eastAsia="Times New Roman" w:hAnsi="Times New Roman" w:cs="Times New Roman"/>
          <w:color w:val="000000"/>
        </w:rPr>
        <w:br/>
      </w: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Arial" w:eastAsia="Times New Roman" w:hAnsi="Arial" w:cs="Arial"/>
          <w:i/>
          <w:color w:val="000000"/>
        </w:rPr>
        <w:t>Cooperative Learning</w:t>
      </w:r>
      <w:r>
        <w:rPr>
          <w:rFonts w:ascii="Arial" w:eastAsia="Times New Roman" w:hAnsi="Arial" w:cs="Arial"/>
          <w:color w:val="000000"/>
        </w:rPr>
        <w:t xml:space="preserve"> - </w:t>
      </w:r>
      <w:proofErr w:type="spellStart"/>
      <w:r w:rsidRPr="00FD7031">
        <w:rPr>
          <w:rFonts w:ascii="Arial" w:eastAsia="Times New Roman" w:hAnsi="Arial" w:cs="Arial"/>
          <w:color w:val="000000"/>
        </w:rPr>
        <w:t>Marzano’s</w:t>
      </w:r>
      <w:proofErr w:type="spellEnd"/>
      <w:r w:rsidRPr="00FD7031">
        <w:rPr>
          <w:rFonts w:ascii="Arial" w:eastAsia="Times New Roman" w:hAnsi="Arial" w:cs="Arial"/>
          <w:color w:val="000000"/>
        </w:rPr>
        <w:t xml:space="preserve"> sixth essential instructional strategy of cooperative learning is demonstrated by the use of small group work to complete the in-class model. Cooperative learning </w:t>
      </w:r>
      <w:r>
        <w:rPr>
          <w:rFonts w:ascii="Arial" w:eastAsia="Times New Roman" w:hAnsi="Arial" w:cs="Arial"/>
          <w:color w:val="000000"/>
        </w:rPr>
        <w:t xml:space="preserve">in small groups and when used in a consistent and systematic manner has been proven through research to have a positive impact on overall learning. Groups should be varied in size and mixes and encourage positive interdependence, face-to-face interaction, social skills, accountability for the group and individuals.  </w:t>
      </w:r>
    </w:p>
    <w:p w:rsidR="00A10211" w:rsidRPr="00FD7031" w:rsidRDefault="00A10211" w:rsidP="00A10211">
      <w:pPr>
        <w:spacing w:after="0" w:line="240" w:lineRule="auto"/>
        <w:rPr>
          <w:rFonts w:ascii="Times New Roman" w:eastAsia="Times New Roman" w:hAnsi="Times New Roman" w:cs="Times New Roman"/>
          <w:color w:val="000000"/>
        </w:rPr>
      </w:pPr>
    </w:p>
    <w:p w:rsidR="00A10211" w:rsidRPr="00FD7031" w:rsidRDefault="00A10211" w:rsidP="00A10211">
      <w:pPr>
        <w:spacing w:after="520" w:line="240" w:lineRule="auto"/>
        <w:rPr>
          <w:rFonts w:ascii="Times New Roman" w:eastAsia="Times New Roman" w:hAnsi="Times New Roman" w:cs="Times New Roman"/>
          <w:color w:val="000000"/>
        </w:rPr>
      </w:pPr>
      <w:r w:rsidRPr="00FD7031">
        <w:rPr>
          <w:rFonts w:ascii="Arial" w:eastAsia="Times New Roman" w:hAnsi="Arial" w:cs="Arial"/>
          <w:color w:val="000000"/>
        </w:rPr>
        <w:t xml:space="preserve">Dean, C., Hubbell, E., </w:t>
      </w:r>
      <w:proofErr w:type="spellStart"/>
      <w:r w:rsidRPr="00FD7031">
        <w:rPr>
          <w:rFonts w:ascii="Arial" w:eastAsia="Times New Roman" w:hAnsi="Arial" w:cs="Arial"/>
          <w:color w:val="000000"/>
        </w:rPr>
        <w:t>Pitler</w:t>
      </w:r>
      <w:proofErr w:type="spellEnd"/>
      <w:r w:rsidRPr="00FD7031">
        <w:rPr>
          <w:rFonts w:ascii="Arial" w:eastAsia="Times New Roman" w:hAnsi="Arial" w:cs="Arial"/>
          <w:color w:val="000000"/>
        </w:rPr>
        <w:t>, H., &amp; Stone, B. (2012).  </w:t>
      </w:r>
      <w:r w:rsidRPr="00FD7031">
        <w:rPr>
          <w:rFonts w:ascii="Arial" w:eastAsia="Times New Roman" w:hAnsi="Arial" w:cs="Arial"/>
          <w:i/>
          <w:iCs/>
          <w:color w:val="000000"/>
        </w:rPr>
        <w:t>Classroom Instruction that Works: Research-Based Strategies for Increasing Student Achievement, 2nd edition.</w:t>
      </w:r>
      <w:r w:rsidRPr="00FD7031">
        <w:rPr>
          <w:rFonts w:ascii="Arial" w:eastAsia="Times New Roman" w:hAnsi="Arial" w:cs="Arial"/>
          <w:color w:val="000000"/>
        </w:rPr>
        <w:t xml:space="preserve">  ASCD </w:t>
      </w:r>
      <w:proofErr w:type="spellStart"/>
      <w:r w:rsidRPr="00FD7031">
        <w:rPr>
          <w:rFonts w:ascii="Arial" w:eastAsia="Times New Roman" w:hAnsi="Arial" w:cs="Arial"/>
          <w:color w:val="000000"/>
        </w:rPr>
        <w:t>McREL</w:t>
      </w:r>
      <w:proofErr w:type="spellEnd"/>
      <w:r w:rsidRPr="00FD7031">
        <w:rPr>
          <w:rFonts w:ascii="Arial" w:eastAsia="Times New Roman" w:hAnsi="Arial" w:cs="Arial"/>
          <w:color w:val="000000"/>
        </w:rPr>
        <w:br/>
      </w:r>
      <w:proofErr w:type="spellStart"/>
      <w:r w:rsidRPr="00FD7031">
        <w:rPr>
          <w:rFonts w:ascii="Arial" w:eastAsia="Times New Roman" w:hAnsi="Arial" w:cs="Arial"/>
          <w:color w:val="000000"/>
        </w:rPr>
        <w:t>Pitler</w:t>
      </w:r>
      <w:proofErr w:type="spellEnd"/>
      <w:r w:rsidRPr="00FD7031">
        <w:rPr>
          <w:rFonts w:ascii="Arial" w:eastAsia="Times New Roman" w:hAnsi="Arial" w:cs="Arial"/>
          <w:color w:val="000000"/>
        </w:rPr>
        <w:t>, H. Hubbell, E., &amp; Kuhn, M. (2012).  </w:t>
      </w:r>
      <w:r w:rsidRPr="00FD7031">
        <w:rPr>
          <w:rFonts w:ascii="Arial" w:eastAsia="Times New Roman" w:hAnsi="Arial" w:cs="Arial"/>
          <w:i/>
          <w:iCs/>
          <w:color w:val="000000"/>
        </w:rPr>
        <w:t>Using Technology with Classroom Instruction that Works, 2nd Edition</w:t>
      </w:r>
      <w:r w:rsidRPr="00FD7031">
        <w:rPr>
          <w:rFonts w:ascii="Arial" w:eastAsia="Times New Roman" w:hAnsi="Arial" w:cs="Arial"/>
          <w:color w:val="000000"/>
        </w:rPr>
        <w:t xml:space="preserve">. ASCD </w:t>
      </w:r>
      <w:proofErr w:type="spellStart"/>
      <w:r w:rsidRPr="00FD7031">
        <w:rPr>
          <w:rFonts w:ascii="Arial" w:eastAsia="Times New Roman" w:hAnsi="Arial" w:cs="Arial"/>
          <w:color w:val="000000"/>
        </w:rPr>
        <w:t>McREL</w:t>
      </w:r>
      <w:proofErr w:type="spellEnd"/>
    </w:p>
    <w:p w:rsidR="00A10211" w:rsidRPr="00FD7031" w:rsidRDefault="00A10211" w:rsidP="00A10211">
      <w:pPr>
        <w:spacing w:after="0" w:line="240" w:lineRule="auto"/>
        <w:rPr>
          <w:rFonts w:ascii="Times New Roman" w:eastAsia="Times New Roman" w:hAnsi="Times New Roman" w:cs="Times New Roman"/>
          <w:color w:val="000000"/>
        </w:rPr>
      </w:pPr>
      <w:proofErr w:type="spellStart"/>
      <w:r w:rsidRPr="00FD7031">
        <w:rPr>
          <w:rFonts w:ascii="Arial" w:eastAsia="Times New Roman" w:hAnsi="Arial" w:cs="Arial"/>
          <w:b/>
          <w:bCs/>
          <w:color w:val="000000"/>
        </w:rPr>
        <w:t>Vygotsky</w:t>
      </w:r>
      <w:proofErr w:type="spellEnd"/>
      <w:r w:rsidRPr="00FD7031">
        <w:rPr>
          <w:rFonts w:ascii="Arial" w:eastAsia="Times New Roman" w:hAnsi="Arial" w:cs="Arial"/>
          <w:b/>
          <w:bCs/>
          <w:color w:val="000000"/>
        </w:rPr>
        <w:t>:</w:t>
      </w:r>
    </w:p>
    <w:p w:rsidR="00A10211" w:rsidRPr="00FD7031" w:rsidRDefault="00A10211" w:rsidP="00A10211">
      <w:pPr>
        <w:spacing w:after="0" w:line="240" w:lineRule="auto"/>
        <w:rPr>
          <w:rFonts w:ascii="Times New Roman" w:eastAsia="Times New Roman" w:hAnsi="Times New Roman" w:cs="Times New Roman"/>
          <w:color w:val="000000"/>
        </w:rPr>
      </w:pPr>
      <w:r w:rsidRPr="00FD7031">
        <w:rPr>
          <w:rFonts w:ascii="Arial" w:eastAsia="Times New Roman" w:hAnsi="Arial" w:cs="Arial"/>
          <w:color w:val="000000"/>
        </w:rPr>
        <w:t xml:space="preserve">Throughout the lesson plan, the modeling and scaffolding used while presenting the concept map is indicative of the importance of </w:t>
      </w:r>
      <w:proofErr w:type="spellStart"/>
      <w:r w:rsidRPr="00FD7031">
        <w:rPr>
          <w:rFonts w:ascii="Arial" w:eastAsia="Times New Roman" w:hAnsi="Arial" w:cs="Arial"/>
          <w:color w:val="000000"/>
        </w:rPr>
        <w:t>Vygotsky’s</w:t>
      </w:r>
      <w:proofErr w:type="spellEnd"/>
      <w:r w:rsidRPr="00FD7031">
        <w:rPr>
          <w:rFonts w:ascii="Arial" w:eastAsia="Times New Roman" w:hAnsi="Arial" w:cs="Arial"/>
          <w:color w:val="000000"/>
        </w:rPr>
        <w:t xml:space="preserve"> research and development involved in the zone of proximal development. Discussion allows students the opportunity to talk through their ideas and solidify their understanding of our solar system and the heavenly bodies within. The diagram and chart provide an effective tool for assessment as a well as a great method for tactile learners and creative students who connect with pictures more readily than simple words in print. </w:t>
      </w:r>
    </w:p>
    <w:p w:rsidR="00A10211" w:rsidRPr="00FD7031" w:rsidRDefault="00A10211" w:rsidP="00A10211">
      <w:pPr>
        <w:spacing w:after="0" w:line="240" w:lineRule="auto"/>
        <w:rPr>
          <w:rFonts w:ascii="Times New Roman" w:eastAsia="Times New Roman" w:hAnsi="Times New Roman" w:cs="Times New Roman"/>
          <w:color w:val="000000"/>
        </w:rPr>
      </w:pPr>
    </w:p>
    <w:p w:rsidR="00A10211" w:rsidRPr="00FD7031" w:rsidRDefault="00A10211" w:rsidP="00A10211">
      <w:pPr>
        <w:spacing w:after="0" w:line="240" w:lineRule="auto"/>
        <w:rPr>
          <w:rFonts w:ascii="Times New Roman" w:eastAsia="Times New Roman" w:hAnsi="Times New Roman" w:cs="Times New Roman"/>
          <w:color w:val="000000"/>
        </w:rPr>
      </w:pPr>
      <w:proofErr w:type="spellStart"/>
      <w:r w:rsidRPr="00FD7031">
        <w:rPr>
          <w:rFonts w:ascii="Arial" w:eastAsia="Times New Roman" w:hAnsi="Arial" w:cs="Arial"/>
          <w:color w:val="000000"/>
        </w:rPr>
        <w:t>Vygotsky</w:t>
      </w:r>
      <w:proofErr w:type="spellEnd"/>
      <w:r w:rsidRPr="00FD7031">
        <w:rPr>
          <w:rFonts w:ascii="Arial" w:eastAsia="Times New Roman" w:hAnsi="Arial" w:cs="Arial"/>
          <w:color w:val="000000"/>
        </w:rPr>
        <w:t xml:space="preserve">, L.S. (1978). </w:t>
      </w:r>
      <w:r w:rsidRPr="00FD7031">
        <w:rPr>
          <w:rFonts w:ascii="Arial" w:eastAsia="Times New Roman" w:hAnsi="Arial" w:cs="Arial"/>
          <w:i/>
          <w:iCs/>
          <w:color w:val="000000"/>
        </w:rPr>
        <w:t xml:space="preserve">Mind in society. </w:t>
      </w:r>
      <w:proofErr w:type="gramStart"/>
      <w:r w:rsidRPr="00FD7031">
        <w:rPr>
          <w:rFonts w:ascii="Arial" w:eastAsia="Times New Roman" w:hAnsi="Arial" w:cs="Arial"/>
          <w:i/>
          <w:iCs/>
          <w:color w:val="000000"/>
        </w:rPr>
        <w:t>The development of higher psychological processes</w:t>
      </w:r>
      <w:r w:rsidRPr="00FD7031">
        <w:rPr>
          <w:rFonts w:ascii="Arial" w:eastAsia="Times New Roman" w:hAnsi="Arial" w:cs="Arial"/>
          <w:color w:val="000000"/>
        </w:rPr>
        <w:t>.</w:t>
      </w:r>
      <w:proofErr w:type="gramEnd"/>
      <w:r w:rsidRPr="00FD7031">
        <w:rPr>
          <w:rFonts w:ascii="Arial" w:eastAsia="Times New Roman" w:hAnsi="Arial" w:cs="Arial"/>
          <w:color w:val="000000"/>
        </w:rPr>
        <w:t xml:space="preserve"> Cambridge, MA: Harvard University Press.</w:t>
      </w:r>
    </w:p>
    <w:p w:rsidR="002910F6" w:rsidRDefault="00A10211"/>
    <w:sectPr w:rsidR="002910F6" w:rsidSect="003844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10211"/>
    <w:rsid w:val="00A10211"/>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211"/>
    <w:pPr>
      <w:spacing w:after="200" w:line="276" w:lineRule="auto"/>
    </w:pPr>
    <w:rPr>
      <w:rFonts w:eastAsiaTheme="minorEastAsia"/>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A10211"/>
    <w:rPr>
      <w:rFonts w:ascii="Cambria" w:eastAsia="Cambria" w:hAnsi="Cambria" w:cs="Cambria"/>
      <w:color w:val="000000"/>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3055</Characters>
  <Application>Microsoft Macintosh Word</Application>
  <DocSecurity>0</DocSecurity>
  <Lines>25</Lines>
  <Paragraphs>6</Paragraphs>
  <ScaleCrop>false</ScaleCrop>
  <Company>Tennessee Tech University</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TTU</dc:creator>
  <cp:keywords/>
  <cp:lastModifiedBy>TTU</cp:lastModifiedBy>
  <cp:revision>1</cp:revision>
  <dcterms:created xsi:type="dcterms:W3CDTF">2013-04-14T22:38:00Z</dcterms:created>
  <dcterms:modified xsi:type="dcterms:W3CDTF">2013-04-14T22:38:00Z</dcterms:modified>
</cp:coreProperties>
</file>